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рисками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рисками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рисками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рисками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и отраслевые стандарты по управлению рисками,  требования к обеспечению сохранения коммерческой тайны, национальные и международные стандарты, лучшие практики по построению систем управления рисками, локальные нормативные акты по управлению рисками в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анализировать изменения корпоративной нормативной базы по вопросам управления рисками, использовать в профессиональной деятельности знания законодательства Российской Федерации и отраслевые стандарты по управлению рисками, требования к обеспечению сохранения коммерческой тайны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разработки регламентов деятельности подразделения по управлению рисками и отдельных работников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анализа изменений корпоративной нормативной базы по вопросам управления рисками, использования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рисками организации»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рисками в системах нормативного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предпринимательских правоотношений. Регламенты в управлении рисками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Управления рисками организации при угрозе банкротства: правовые основы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управления инвестиционными рисками</w:t>
            </w:r>
          </w:p>
        </w:tc>
      </w:tr>
      <w:tr>
        <w:trPr>
          <w:trHeight w:hRule="exact" w:val="2864.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 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аспекты финансового риск-менеджмента в компаниях реального сектора экономики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 рисков.</w:t>
            </w:r>
          </w:p>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Законодательные акты, международные стандарты управления рисками, внутренние регламенты компаний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предпринимательских правоотношений. Объекты предпринимательских отношений. Субъекты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2. Нормативное регулирование как инструмент смягчения риска.</w:t>
            </w:r>
          </w:p>
          <w:p>
            <w:pPr>
              <w:jc w:val="left"/>
              <w:spacing w:after="0" w:line="240" w:lineRule="auto"/>
              <w:rPr>
                <w:sz w:val="24"/>
                <w:szCs w:val="24"/>
              </w:rPr>
            </w:pPr>
            <w:r>
              <w:rPr>
                <w:rFonts w:ascii="Times New Roman" w:hAnsi="Times New Roman" w:cs="Times New Roman"/>
                <w:color w:val="#000000"/>
                <w:sz w:val="24"/>
                <w:szCs w:val="24"/>
              </w:rPr>
              <w:t> 3. Типы регламентов, используемые для смягчения рисков</w:t>
            </w:r>
          </w:p>
          <w:p>
            <w:pPr>
              <w:jc w:val="left"/>
              <w:spacing w:after="0" w:line="240" w:lineRule="auto"/>
              <w:rPr>
                <w:sz w:val="24"/>
                <w:szCs w:val="24"/>
              </w:rPr>
            </w:pPr>
            <w:r>
              <w:rPr>
                <w:rFonts w:ascii="Times New Roman" w:hAnsi="Times New Roman" w:cs="Times New Roman"/>
                <w:color w:val="#000000"/>
                <w:sz w:val="24"/>
                <w:szCs w:val="24"/>
              </w:rPr>
              <w:t> 4. Исходные данные в системе нормативного регулирования.</w:t>
            </w:r>
          </w:p>
          <w:p>
            <w:pPr>
              <w:jc w:val="left"/>
              <w:spacing w:after="0" w:line="240" w:lineRule="auto"/>
              <w:rPr>
                <w:sz w:val="24"/>
                <w:szCs w:val="24"/>
              </w:rPr>
            </w:pPr>
            <w:r>
              <w:rPr>
                <w:rFonts w:ascii="Times New Roman" w:hAnsi="Times New Roman" w:cs="Times New Roman"/>
                <w:color w:val="#000000"/>
                <w:sz w:val="24"/>
                <w:szCs w:val="24"/>
              </w:rPr>
              <w:t> 5. Рекомендация ЕЭК ООН по управлению рисками в системах регулирования (Рекомендация R)</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Управления рисками организации при угрозе банкротства: правовые основы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управления инвестиционными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формы инвестиционной деятельности.</w:t>
            </w:r>
          </w:p>
          <w:p>
            <w:pPr>
              <w:jc w:val="left"/>
              <w:spacing w:after="0" w:line="240" w:lineRule="auto"/>
              <w:rPr>
                <w:sz w:val="24"/>
                <w:szCs w:val="24"/>
              </w:rPr>
            </w:pPr>
            <w:r>
              <w:rPr>
                <w:rFonts w:ascii="Times New Roman" w:hAnsi="Times New Roman" w:cs="Times New Roman"/>
                <w:color w:val="#000000"/>
                <w:sz w:val="24"/>
                <w:szCs w:val="24"/>
              </w:rPr>
              <w:t> 2.	Управление рисками инвестиционного портфеля</w:t>
            </w:r>
          </w:p>
          <w:p>
            <w:pPr>
              <w:jc w:val="left"/>
              <w:spacing w:after="0" w:line="240" w:lineRule="auto"/>
              <w:rPr>
                <w:sz w:val="24"/>
                <w:szCs w:val="24"/>
              </w:rPr>
            </w:pPr>
            <w:r>
              <w:rPr>
                <w:rFonts w:ascii="Times New Roman" w:hAnsi="Times New Roman" w:cs="Times New Roman"/>
                <w:color w:val="#000000"/>
                <w:sz w:val="24"/>
                <w:szCs w:val="24"/>
              </w:rPr>
              <w:t> 3.	Управление финансовыми рисками инвестиционных проектов в форме капитальных вложений</w:t>
            </w:r>
          </w:p>
          <w:p>
            <w:pPr>
              <w:jc w:val="left"/>
              <w:spacing w:after="0" w:line="240" w:lineRule="auto"/>
              <w:rPr>
                <w:sz w:val="24"/>
                <w:szCs w:val="24"/>
              </w:rPr>
            </w:pPr>
            <w:r>
              <w:rPr>
                <w:rFonts w:ascii="Times New Roman" w:hAnsi="Times New Roman" w:cs="Times New Roman"/>
                <w:color w:val="#000000"/>
                <w:sz w:val="24"/>
                <w:szCs w:val="24"/>
              </w:rPr>
              <w:t> 4.	Система инвестиционного законодательства России</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правовых форм осуществления инвестиционной деятельности. Понятие инвестиционного договора.</w:t>
            </w:r>
          </w:p>
          <w:p>
            <w:pPr>
              <w:jc w:val="left"/>
              <w:spacing w:after="0" w:line="240" w:lineRule="auto"/>
              <w:rPr>
                <w:sz w:val="24"/>
                <w:szCs w:val="24"/>
              </w:rPr>
            </w:pPr>
            <w:r>
              <w:rPr>
                <w:rFonts w:ascii="Times New Roman" w:hAnsi="Times New Roman" w:cs="Times New Roman"/>
                <w:color w:val="#000000"/>
                <w:sz w:val="24"/>
                <w:szCs w:val="24"/>
              </w:rPr>
              <w:t> 6.	Правовое обеспечение деятельности по управлению рисками в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аспекты финансового риск-менеджмента в компаниях реального сектора экономики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Построение системы управления финансовыми рисками на предприятии</w:t>
            </w:r>
          </w:p>
          <w:p>
            <w:pPr>
              <w:jc w:val="left"/>
              <w:spacing w:after="0" w:line="240" w:lineRule="auto"/>
              <w:rPr>
                <w:sz w:val="24"/>
                <w:szCs w:val="24"/>
              </w:rPr>
            </w:pPr>
            <w:r>
              <w:rPr>
                <w:rFonts w:ascii="Times New Roman" w:hAnsi="Times New Roman" w:cs="Times New Roman"/>
                <w:color w:val="#000000"/>
                <w:sz w:val="24"/>
                <w:szCs w:val="24"/>
              </w:rPr>
              <w:t> 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pPr>
              <w:jc w:val="left"/>
              <w:spacing w:after="0" w:line="240" w:lineRule="auto"/>
              <w:rPr>
                <w:sz w:val="24"/>
                <w:szCs w:val="24"/>
              </w:rPr>
            </w:pPr>
            <w:r>
              <w:rPr>
                <w:rFonts w:ascii="Times New Roman" w:hAnsi="Times New Roman" w:cs="Times New Roman"/>
                <w:color w:val="#000000"/>
                <w:sz w:val="24"/>
                <w:szCs w:val="24"/>
              </w:rPr>
              <w:t> 3.	Диверсификация, страхование, хеджирование финансовых рисков.</w:t>
            </w:r>
          </w:p>
          <w:p>
            <w:pPr>
              <w:jc w:val="left"/>
              <w:spacing w:after="0" w:line="240" w:lineRule="auto"/>
              <w:rPr>
                <w:sz w:val="24"/>
                <w:szCs w:val="24"/>
              </w:rPr>
            </w:pPr>
            <w:r>
              <w:rPr>
                <w:rFonts w:ascii="Times New Roman" w:hAnsi="Times New Roman" w:cs="Times New Roman"/>
                <w:color w:val="#000000"/>
                <w:sz w:val="24"/>
                <w:szCs w:val="24"/>
              </w:rPr>
              <w:t> 4.	Лимитирование, риск-аппетит и другие инструменты управления финансовыми рисками</w:t>
            </w:r>
          </w:p>
          <w:p>
            <w:pPr>
              <w:jc w:val="left"/>
              <w:spacing w:after="0" w:line="240" w:lineRule="auto"/>
              <w:rPr>
                <w:sz w:val="24"/>
                <w:szCs w:val="24"/>
              </w:rPr>
            </w:pPr>
            <w:r>
              <w:rPr>
                <w:rFonts w:ascii="Times New Roman" w:hAnsi="Times New Roman" w:cs="Times New Roman"/>
                <w:color w:val="#000000"/>
                <w:sz w:val="24"/>
                <w:szCs w:val="24"/>
              </w:rPr>
              <w:t> 5.	Секьюритизация и кредитные деривативы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рисками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Китая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Лаптева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https://urait.ru/bcode/444789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https://www.biblio-online.ru/bcode/433253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2024-2025_ФГОС3++2024_Маг-ЗФО-Менеджмент(РМСиТПО)(24)_plx_Правовые основы управления рисками организации</dc:title>
  <dc:creator>FastReport.NET</dc:creator>
</cp:coreProperties>
</file>